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  <w:r w:rsidRPr="00B80531">
        <w:rPr>
          <w:rFonts w:ascii="Calibri" w:eastAsia="Times New Roman" w:hAnsi="Calibri" w:cs="Times New Roman"/>
          <w:bCs/>
          <w:noProof/>
          <w:sz w:val="24"/>
          <w:szCs w:val="24"/>
          <w:lang w:eastAsia="sl-SI"/>
        </w:rPr>
        <w:drawing>
          <wp:inline distT="0" distB="0" distL="0" distR="0" wp14:anchorId="6A72C968" wp14:editId="50A597B0">
            <wp:extent cx="1405890" cy="1310005"/>
            <wp:effectExtent l="0" t="0" r="381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8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FF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bCs/>
          <w:color w:val="000000"/>
          <w:sz w:val="56"/>
          <w:szCs w:val="48"/>
          <w:lang w:eastAsia="ar-SA"/>
        </w:rPr>
        <w:t>ŠOLSKA PRAVILA OCENJEVANJA ZNANJA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  <w:t xml:space="preserve">Vida Poglajen, 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  <w:t>ravnateljica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62"/>
      </w:tblGrid>
      <w:tr w:rsidR="00B80531" w:rsidRPr="00B80531" w:rsidTr="003B20D0">
        <w:trPr>
          <w:trHeight w:val="180"/>
          <w:jc w:val="center"/>
        </w:trPr>
        <w:tc>
          <w:tcPr>
            <w:tcW w:w="8462" w:type="dxa"/>
          </w:tcPr>
          <w:p w:rsidR="00111717" w:rsidRDefault="00614F28" w:rsidP="00111717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Litija, avgust 2020</w:t>
            </w:r>
          </w:p>
          <w:p w:rsidR="00B80531" w:rsidRPr="00B80531" w:rsidRDefault="00B80531" w:rsidP="00111717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B80531" w:rsidRPr="00B80531" w:rsidTr="003B20D0">
        <w:trPr>
          <w:jc w:val="center"/>
        </w:trPr>
        <w:tc>
          <w:tcPr>
            <w:tcW w:w="8462" w:type="dxa"/>
          </w:tcPr>
          <w:p w:rsidR="00B80531" w:rsidRPr="00B80531" w:rsidRDefault="00B80531" w:rsidP="00B80531">
            <w:pPr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B80531" w:rsidRPr="00B80531" w:rsidRDefault="007837AC" w:rsidP="00B8053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  <w:r>
        <w:rPr>
          <w:rFonts w:ascii="Calibri" w:eastAsia="Times New Roman" w:hAnsi="Calibri" w:cs="Tahoma"/>
          <w:sz w:val="24"/>
          <w:szCs w:val="24"/>
          <w:lang w:eastAsia="sl-SI"/>
        </w:rPr>
        <w:t>Na osnovi določil 12</w:t>
      </w:r>
      <w:r w:rsidR="00B80531" w:rsidRPr="00B80531">
        <w:rPr>
          <w:rFonts w:ascii="Calibri" w:eastAsia="Times New Roman" w:hAnsi="Calibri" w:cs="Tahoma"/>
          <w:sz w:val="24"/>
          <w:szCs w:val="24"/>
          <w:lang w:eastAsia="sl-SI"/>
        </w:rPr>
        <w:t xml:space="preserve">. člena Pravilnika o ocenjevanju znanja v </w:t>
      </w:r>
      <w:r>
        <w:rPr>
          <w:rFonts w:ascii="Calibri" w:eastAsia="Times New Roman" w:hAnsi="Calibri" w:cs="Tahoma"/>
          <w:sz w:val="24"/>
          <w:szCs w:val="24"/>
          <w:lang w:eastAsia="sl-SI"/>
        </w:rPr>
        <w:t>srednjih šolah (Ur.</w:t>
      </w:r>
      <w:r w:rsidR="003977BD">
        <w:rPr>
          <w:rFonts w:ascii="Calibri" w:eastAsia="Times New Roman" w:hAnsi="Calibri" w:cs="Tahoma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Tahoma"/>
          <w:sz w:val="24"/>
          <w:szCs w:val="24"/>
          <w:lang w:eastAsia="sl-SI"/>
        </w:rPr>
        <w:t>l. RS, št. 30/2018</w:t>
      </w:r>
      <w:r w:rsidR="00B80531" w:rsidRPr="00B80531">
        <w:rPr>
          <w:rFonts w:ascii="Calibri" w:eastAsia="Times New Roman" w:hAnsi="Calibri" w:cs="Tahoma"/>
          <w:sz w:val="24"/>
          <w:szCs w:val="24"/>
          <w:lang w:eastAsia="sl-SI"/>
        </w:rPr>
        <w:t>) določa ravnateljica Gimnazije Litija, Bevkova 1c, 1270 Litija</w:t>
      </w: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2"/>
          <w:szCs w:val="32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sl-SI"/>
        </w:rPr>
      </w:pPr>
      <w:r w:rsidRPr="00B80531">
        <w:rPr>
          <w:rFonts w:ascii="Calibri" w:eastAsia="Times New Roman" w:hAnsi="Calibri" w:cs="Tahoma"/>
          <w:b/>
          <w:sz w:val="36"/>
          <w:szCs w:val="36"/>
          <w:lang w:eastAsia="sl-SI"/>
        </w:rPr>
        <w:t>ŠOLSKA PRAVILA OCENJEVANJA ZNANJA</w:t>
      </w: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both"/>
        <w:rPr>
          <w:rFonts w:ascii="Calibri" w:eastAsia="Times New Roman" w:hAnsi="Calibri" w:cs="Tahoma"/>
          <w:b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sz w:val="28"/>
          <w:szCs w:val="28"/>
          <w:lang w:eastAsia="sl-SI"/>
        </w:rPr>
      </w:pPr>
      <w:r w:rsidRPr="00B80531">
        <w:rPr>
          <w:rFonts w:ascii="Calibri" w:eastAsia="Times New Roman" w:hAnsi="Calibri" w:cs="Tahoma"/>
          <w:sz w:val="28"/>
          <w:szCs w:val="28"/>
          <w:lang w:eastAsia="sl-SI"/>
        </w:rPr>
        <w:t>VSEBINA</w:t>
      </w: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jc w:val="center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spacing w:after="0" w:line="240" w:lineRule="auto"/>
        <w:rPr>
          <w:rFonts w:ascii="Calibri" w:eastAsia="Times New Roman" w:hAnsi="Calibri" w:cs="Tahoma"/>
          <w:sz w:val="28"/>
          <w:szCs w:val="28"/>
          <w:lang w:eastAsia="sl-SI"/>
        </w:rPr>
      </w:pP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IZPOLNJEVANJE OBVEZNOSTI (NAČINI IN ROKI)</w:t>
      </w: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POGOJI ZA OBVEZNO PONAVLJANJE PISNIH IZDELKOV</w:t>
      </w: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ROKI ZA VRAČANJE IZDELKOV</w:t>
      </w:r>
    </w:p>
    <w:p w:rsid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IZPITNI RED</w:t>
      </w:r>
    </w:p>
    <w:p w:rsidR="002D7C1B" w:rsidRPr="00B80531" w:rsidRDefault="002D7C1B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PRIPRAVA IZPITNEGA GRADIVA, POTEK IN TRAJANJE IZPITA ZA ITS</w:t>
      </w: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KRŠITVE PRAVIC PRI OCENJEVANJU ZNANJA IN UKREPI</w:t>
      </w: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POSTOPEK ODPRAVLJANJA NAPAK PRI OCENEJVANJU ZNANJA</w:t>
      </w:r>
    </w:p>
    <w:p w:rsidR="00B80531" w:rsidRPr="00B80531" w:rsidRDefault="00B80531" w:rsidP="00B80531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B80531">
        <w:rPr>
          <w:rFonts w:ascii="Calibri" w:eastAsia="Calibri" w:hAnsi="Calibri" w:cs="Times New Roman"/>
          <w:sz w:val="28"/>
          <w:szCs w:val="28"/>
        </w:rPr>
        <w:t>PRIPRAVA IN HRAMBA IZPITNEGA GRADIVA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B80531" w:rsidRPr="00B80531" w:rsidRDefault="00B80531" w:rsidP="00B80531">
      <w:pPr>
        <w:spacing w:after="200" w:line="276" w:lineRule="auto"/>
        <w:ind w:left="927"/>
        <w:contextualSpacing/>
        <w:rPr>
          <w:rFonts w:ascii="Calibri" w:eastAsia="Calibri" w:hAnsi="Calibri" w:cs="Times New Roman"/>
          <w:b/>
          <w:sz w:val="36"/>
          <w:szCs w:val="36"/>
        </w:rPr>
      </w:pPr>
    </w:p>
    <w:p w:rsidR="00B80531" w:rsidRPr="00B80531" w:rsidRDefault="00B80531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B80531" w:rsidRDefault="00B80531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614F28" w:rsidRDefault="00614F28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614F28" w:rsidRDefault="00614F28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614F28" w:rsidRDefault="00614F28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614F28" w:rsidRDefault="00614F28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614F28" w:rsidRDefault="00614F28" w:rsidP="00B80531">
      <w:pPr>
        <w:spacing w:after="200" w:line="276" w:lineRule="auto"/>
        <w:rPr>
          <w:rFonts w:ascii="Calibri" w:eastAsia="Times New Roman" w:hAnsi="Calibri" w:cs="Times New Roman"/>
          <w:bCs/>
          <w:sz w:val="28"/>
          <w:szCs w:val="28"/>
          <w:lang w:eastAsia="ar-SA"/>
        </w:rPr>
      </w:pPr>
    </w:p>
    <w:p w:rsidR="00B80531" w:rsidRPr="00B80531" w:rsidRDefault="00B80531" w:rsidP="00B8053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lastRenderedPageBreak/>
        <w:t>Izpolnjevanje obveznosti (načini in roki)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ar-SA"/>
        </w:rPr>
      </w:pPr>
    </w:p>
    <w:p w:rsidR="00B80531" w:rsidRPr="00B80531" w:rsidRDefault="00B80531" w:rsidP="00B80531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b/>
        </w:rPr>
      </w:pPr>
      <w:r w:rsidRPr="00B80531">
        <w:rPr>
          <w:rFonts w:ascii="Calibri" w:eastAsia="Calibri" w:hAnsi="Calibri" w:cs="Calibri"/>
          <w:b/>
        </w:rPr>
        <w:t>Število pisnih preverjanj za oceno pri posameznih predmetih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</w:tblGrid>
      <w:tr w:rsidR="00B80531" w:rsidRPr="00A6504C" w:rsidTr="003B20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A6504C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A650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Predmet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A6504C" w:rsidRDefault="00A6504C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A650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Število pisnih ocen</w:t>
            </w:r>
          </w:p>
        </w:tc>
      </w:tr>
      <w:tr w:rsidR="00B80531" w:rsidRPr="00B80531" w:rsidTr="00D81797">
        <w:trPr>
          <w:trHeight w:hRule="exact" w:val="3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Slovenščina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7837AC" w:rsidP="007837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najmanj 4 </w:t>
            </w:r>
          </w:p>
        </w:tc>
      </w:tr>
      <w:tr w:rsidR="00B80531" w:rsidRPr="00B80531" w:rsidTr="00D81797">
        <w:trPr>
          <w:trHeight w:hRule="exact"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Matematika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7837AC" w:rsidP="00B8053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DB245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praviloma</w:t>
            </w:r>
            <w:r w:rsidR="004B1F2B" w:rsidRPr="00DB245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5 (1.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, 4.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letnik)</w:t>
            </w:r>
          </w:p>
          <w:p w:rsidR="00B80531" w:rsidRPr="00B80531" w:rsidRDefault="00DB245F" w:rsidP="007837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praviloma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6 (2., 3. letnik) </w:t>
            </w:r>
          </w:p>
        </w:tc>
      </w:tr>
      <w:tr w:rsidR="00B80531" w:rsidRPr="00B80531" w:rsidTr="00D81797">
        <w:trPr>
          <w:trHeight w:hRule="exact" w:val="4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Angleščina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D81797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80531" w:rsidRPr="00B80531" w:rsidTr="00614F28">
        <w:trPr>
          <w:trHeight w:hRule="exact" w:val="6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Nemščina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B80531" w:rsidP="00B8053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3 (1. letnik) </w:t>
            </w:r>
          </w:p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4 (2., 3., 4. letnik)</w:t>
            </w:r>
          </w:p>
        </w:tc>
      </w:tr>
      <w:tr w:rsidR="00B80531" w:rsidRPr="00B80531" w:rsidTr="003B20D0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Zgodovina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3 </w:t>
            </w:r>
          </w:p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4 (4. letnik - matura)</w:t>
            </w:r>
          </w:p>
        </w:tc>
      </w:tr>
      <w:tr w:rsidR="00B80531" w:rsidRPr="00B80531" w:rsidTr="003B20D0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Športna vzgoja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Dijaki dobijo najmanj 4 ocene iz praktičnega dela.</w:t>
            </w:r>
          </w:p>
        </w:tc>
      </w:tr>
      <w:tr w:rsidR="00B80531" w:rsidRPr="00B80531" w:rsidTr="00D81797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Glasba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614F28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najmanj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80531" w:rsidRPr="00B80531" w:rsidTr="00D81797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Likovna umetnost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614F28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najmanj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80531" w:rsidRPr="00B80531" w:rsidTr="00D81797">
        <w:trPr>
          <w:trHeight w:hRule="exact" w:val="4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Geografija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D81797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80531" w:rsidRPr="00B80531" w:rsidTr="003962C3">
        <w:trPr>
          <w:trHeight w:hRule="exact"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Biologija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B80531" w:rsidP="00B805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3 </w:t>
            </w:r>
          </w:p>
        </w:tc>
      </w:tr>
      <w:tr w:rsidR="00B80531" w:rsidRPr="00B80531" w:rsidTr="00D81797">
        <w:trPr>
          <w:trHeight w:hRule="exact" w:val="8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Kemija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797" w:rsidRDefault="00614F28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najmanj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</w:t>
            </w:r>
          </w:p>
          <w:p w:rsidR="00B80531" w:rsidRPr="00B80531" w:rsidRDefault="00614F28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najmanj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4 (4. letnik – matura)</w:t>
            </w:r>
            <w:r w:rsidR="003962C3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80531" w:rsidRPr="00B80531" w:rsidTr="00614F28">
        <w:trPr>
          <w:trHeight w:hRule="exact"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Fizika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47090B" w:rsidP="00B805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n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ajmanj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3 </w:t>
            </w:r>
          </w:p>
        </w:tc>
      </w:tr>
      <w:tr w:rsidR="00EF7B78" w:rsidRPr="00EF7B78" w:rsidTr="00D81797">
        <w:trPr>
          <w:trHeight w:hRule="exact" w:val="4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EF7B78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EF7B78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Psihologija</w:t>
            </w:r>
          </w:p>
          <w:p w:rsidR="00B80531" w:rsidRPr="00EF7B78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EF7B78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Psihologija – 4. letnik</w:t>
            </w:r>
          </w:p>
          <w:p w:rsidR="00B80531" w:rsidRPr="00EF7B78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EF7B78" w:rsidRDefault="004B1F2B" w:rsidP="00B805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EF7B78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2</w:t>
            </w:r>
            <w:r w:rsidR="00D81797" w:rsidRPr="00EF7B78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</w:t>
            </w:r>
          </w:p>
          <w:p w:rsidR="00B80531" w:rsidRPr="00EF7B78" w:rsidRDefault="00B80531" w:rsidP="00B805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  <w:p w:rsidR="00B80531" w:rsidRPr="00EF7B78" w:rsidRDefault="00B80531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</w:tr>
      <w:tr w:rsidR="00B80531" w:rsidRPr="00B80531" w:rsidTr="00D81797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Sociologija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B80531" w:rsidP="00B8053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 (3. letnik)</w:t>
            </w:r>
          </w:p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6 (4. letnik)</w:t>
            </w:r>
          </w:p>
        </w:tc>
      </w:tr>
      <w:tr w:rsidR="00B80531" w:rsidRPr="00B80531" w:rsidTr="00D8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Filozofija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80531" w:rsidRPr="00B80531" w:rsidTr="00D81797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Informatika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D81797" w:rsidP="00B805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p</w:t>
            </w:r>
            <w:r w:rsidR="007837AC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raviloma </w:t>
            </w:r>
            <w:r w:rsidR="00A6504C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2</w:t>
            </w:r>
          </w:p>
          <w:p w:rsidR="00B80531" w:rsidRPr="00B80531" w:rsidRDefault="00B80531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  <w:p w:rsidR="00B80531" w:rsidRPr="00B80531" w:rsidRDefault="00B80531" w:rsidP="00B80531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</w:tr>
      <w:tr w:rsidR="00B80531" w:rsidRPr="00B80531" w:rsidTr="00D8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31" w:rsidRPr="00B80531" w:rsidRDefault="00D81797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Španščina (izbirno </w:t>
            </w:r>
            <w:r w:rsidR="00B80531"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3. l.)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31" w:rsidRPr="00B80531" w:rsidRDefault="003962C3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962C3" w:rsidRPr="00B80531" w:rsidTr="00D8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C3" w:rsidRDefault="003962C3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Ruščina (izbirno 2. l.)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C3" w:rsidRDefault="003962C3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izbirnih maturitetnih predmetih je lahko število pisnih preizkusov znanja, po dogovoru z dijaki, tudi večje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. Pri ocenjevanju se upošteva 14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. člen Pravilnika o ocenjevanju znanja v srednjih šolah.</w:t>
      </w:r>
    </w:p>
    <w:p w:rsid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614F28" w:rsidRDefault="00614F28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614F28" w:rsidRPr="00B80531" w:rsidRDefault="00614F28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b/>
        </w:rPr>
      </w:pPr>
      <w:r w:rsidRPr="00B80531">
        <w:rPr>
          <w:rFonts w:ascii="Calibri" w:eastAsia="Calibri" w:hAnsi="Calibri" w:cs="Calibri"/>
          <w:b/>
        </w:rPr>
        <w:lastRenderedPageBreak/>
        <w:t>Število ustnih preverjanj za oceno</w:t>
      </w:r>
    </w:p>
    <w:p w:rsidR="00B80531" w:rsidRPr="00B80531" w:rsidRDefault="00B80531" w:rsidP="00B8053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Ustni odgovori pri posameznem predmetu se ocenijo najmanj enkrat v šolskem letu, razen če je s katalogi znanj oziroma učnim na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črtom določeno drugače (Ul. RS 30/2018)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b/>
        </w:rPr>
      </w:pPr>
      <w:r w:rsidRPr="00B80531">
        <w:rPr>
          <w:rFonts w:ascii="Calibri" w:eastAsia="Calibri" w:hAnsi="Calibri" w:cs="Calibri"/>
          <w:b/>
        </w:rPr>
        <w:t>Druge oblike pridobivanja ocen</w:t>
      </w:r>
    </w:p>
    <w:p w:rsidR="00B80531" w:rsidRPr="00B80531" w:rsidRDefault="00B80531" w:rsidP="00B80531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Dijaki pridobijo ocene pri posameznih predmetih tudi z izdelavo seminarskih nalog, referatov, esejev, domačim branjem, likovnimi izdelki idr. O tem bodo podrobneje seznanjeni na uvodnih urah.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80531" w:rsidRPr="00B80531" w:rsidRDefault="00B80531" w:rsidP="00B8053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>letnik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zgodovini (samostojni izdelek) pri informatiki morajo dijaki obvezno pripraviti seminarsko nal</w:t>
      </w:r>
      <w:r w:rsidR="0001754D">
        <w:rPr>
          <w:rFonts w:ascii="Calibri" w:eastAsia="Times New Roman" w:hAnsi="Calibri" w:cs="Calibri"/>
          <w:bCs/>
          <w:sz w:val="24"/>
          <w:szCs w:val="24"/>
          <w:lang w:eastAsia="ar-SA"/>
        </w:rPr>
        <w:t>ogo, pri glasbi seminarska naloga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, pri likovni umetnosti pa sta obvezna najmanj dva likovna izdelka.</w:t>
      </w:r>
    </w:p>
    <w:p w:rsidR="00B80531" w:rsidRPr="00B80531" w:rsidRDefault="00B80531" w:rsidP="00B8053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80531" w:rsidRPr="00B80531" w:rsidRDefault="006D493E" w:rsidP="00B8053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</w:t>
      </w:r>
      <w:r w:rsidR="00B80531"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2.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</w:t>
      </w:r>
      <w:r w:rsidR="00B80531"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>letnik</w:t>
      </w:r>
    </w:p>
    <w:p w:rsidR="00614F28" w:rsidRDefault="00D81797" w:rsidP="00FF3F3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5" w:lineRule="auto"/>
        <w:jc w:val="both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P</w:t>
      </w:r>
      <w:r w:rsidR="00B80531"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ri zgodovini</w:t>
      </w:r>
      <w:r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morajo dijaki pripraviti </w:t>
      </w:r>
      <w:r w:rsidR="00B80531"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samostojni izdelek.</w:t>
      </w:r>
      <w:r w:rsidR="000B0672"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Pri ITS 2 morajo dijaki sprotno oddajati naloge, oddana</w:t>
      </w:r>
      <w:r w:rsidR="00FF3F3E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oziroma</w:t>
      </w:r>
      <w:r w:rsidR="008D05DD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predstavljena</w:t>
      </w:r>
      <w:r w:rsidR="000B0672" w:rsidRPr="006D22BB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naloga je pogoj za napredovanje. </w:t>
      </w:r>
    </w:p>
    <w:p w:rsidR="008955F0" w:rsidRPr="006D22BB" w:rsidRDefault="008955F0" w:rsidP="00FF3F3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5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F3E" w:rsidRPr="00FF3F3E" w:rsidRDefault="00FF3F3E" w:rsidP="00FF3F3E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3.    l</w:t>
      </w:r>
      <w:r w:rsidRPr="00FF3F3E">
        <w:rPr>
          <w:rFonts w:ascii="Calibri" w:eastAsia="Times New Roman" w:hAnsi="Calibri" w:cs="Calibri"/>
          <w:b/>
          <w:sz w:val="24"/>
          <w:szCs w:val="24"/>
          <w:lang w:eastAsia="ar-SA"/>
        </w:rPr>
        <w:t>etnik</w:t>
      </w:r>
    </w:p>
    <w:p w:rsidR="00FF3F3E" w:rsidRPr="00FF3F3E" w:rsidRDefault="00FF3F3E" w:rsidP="00FF3F3E">
      <w:pPr>
        <w:spacing w:line="245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F3F3E">
        <w:rPr>
          <w:rFonts w:ascii="Verdana" w:hAnsi="Verdana"/>
          <w:sz w:val="20"/>
          <w:szCs w:val="20"/>
        </w:rPr>
        <w:t>Pri ITS 1 in 2 morajo dijaki sprotno oddajati oziroma predstavljati naloge, oddana oziroma predstavljena naloga je pogoj za napredovanje. Pri zgodovini je obvezen samostojni izdelek.</w:t>
      </w:r>
    </w:p>
    <w:p w:rsidR="00FF3F3E" w:rsidRPr="00FF3F3E" w:rsidRDefault="00FF3F3E" w:rsidP="00FF3F3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80531" w:rsidRPr="00161747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Vsi letniki: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>SLOVENŠČINA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: Dijak lahko pridobi v šolskem letu največ eno oceno za govorni nastop, domače branje ali neobvezno branje.</w:t>
      </w:r>
    </w:p>
    <w:p w:rsid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>ANGLEŠČINA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: Dijak lahko pridobi oceno za referat s predstavitvijo, za esej, napisan v šoli, oz. za predstavitev teme pred razredom.</w:t>
      </w:r>
    </w:p>
    <w:p w:rsidR="003962C3" w:rsidRDefault="003962C3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8D05D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FIZIKA</w:t>
      </w:r>
      <w:r w:rsidR="0016174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, KEMIJA, BIOLOGIJA</w:t>
      </w:r>
      <w:r w:rsidRPr="008D05D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Dija</w:t>
      </w:r>
      <w:r w:rsidR="008D05D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ki bodo </w:t>
      </w:r>
      <w:r w:rsidR="00161747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lahko </w:t>
      </w:r>
      <w:r w:rsidR="008D05DD">
        <w:rPr>
          <w:rFonts w:ascii="Calibri" w:eastAsia="Times New Roman" w:hAnsi="Calibri" w:cs="Calibri"/>
          <w:bCs/>
          <w:sz w:val="24"/>
          <w:szCs w:val="24"/>
          <w:lang w:eastAsia="ar-SA"/>
        </w:rPr>
        <w:t>pridobili en</w:t>
      </w:r>
      <w:r w:rsidR="00161747">
        <w:rPr>
          <w:rFonts w:ascii="Calibri" w:eastAsia="Times New Roman" w:hAnsi="Calibri" w:cs="Calibri"/>
          <w:bCs/>
          <w:sz w:val="24"/>
          <w:szCs w:val="24"/>
          <w:lang w:eastAsia="ar-SA"/>
        </w:rPr>
        <w:t>o oceno iz laboratorijskih vaj oz. z izdelavo in predstavitvijo seminarske naloge. D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odatno oceno </w:t>
      </w:r>
      <w:r w:rsidR="008D05D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pa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bo možno pridobiti</w:t>
      </w:r>
      <w:r w:rsidR="008D05D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tudi z dobrimi rezultati na tekmovanjih iz fizike</w:t>
      </w:r>
      <w:r w:rsidR="00161747">
        <w:rPr>
          <w:rFonts w:ascii="Calibri" w:eastAsia="Times New Roman" w:hAnsi="Calibri" w:cs="Calibri"/>
          <w:bCs/>
          <w:sz w:val="24"/>
          <w:szCs w:val="24"/>
          <w:lang w:eastAsia="ar-SA"/>
        </w:rPr>
        <w:t>, kemije, biologije in astronomije.</w:t>
      </w:r>
    </w:p>
    <w:p w:rsidR="008D05DD" w:rsidRPr="00B80531" w:rsidRDefault="008D05DD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b/>
        </w:rPr>
      </w:pPr>
      <w:r w:rsidRPr="00B80531">
        <w:rPr>
          <w:rFonts w:ascii="Calibri" w:eastAsia="Calibri" w:hAnsi="Calibri" w:cs="Calibri"/>
          <w:b/>
        </w:rPr>
        <w:t>Kriterij za spremembo točk v ocene</w:t>
      </w:r>
    </w:p>
    <w:p w:rsidR="00B80531" w:rsidRPr="00B80531" w:rsidRDefault="00B80531" w:rsidP="00B80531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59"/>
      </w:tblGrid>
      <w:tr w:rsidR="00B80531" w:rsidRPr="00B80531" w:rsidTr="003B20D0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Nezadostno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0–49 %</w:t>
            </w:r>
          </w:p>
        </w:tc>
      </w:tr>
      <w:tr w:rsidR="00B80531" w:rsidRPr="00B80531" w:rsidTr="003B20D0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Zadostno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50–64 %</w:t>
            </w:r>
          </w:p>
        </w:tc>
      </w:tr>
      <w:tr w:rsidR="00B80531" w:rsidRPr="00B80531" w:rsidTr="003B20D0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Dobro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65–79 %</w:t>
            </w:r>
          </w:p>
        </w:tc>
      </w:tr>
      <w:tr w:rsidR="00B80531" w:rsidRPr="00B80531" w:rsidTr="003B20D0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Prav dobro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80–89 %</w:t>
            </w:r>
          </w:p>
        </w:tc>
      </w:tr>
      <w:tr w:rsidR="00B80531" w:rsidRPr="00B80531" w:rsidTr="003B20D0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Odlično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0531" w:rsidRPr="00B80531" w:rsidRDefault="00B80531" w:rsidP="00B80531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B80531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90–100 %</w:t>
            </w:r>
          </w:p>
        </w:tc>
      </w:tr>
    </w:tbl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lastRenderedPageBreak/>
        <w:t>Po profesorjevi presoji in posvetu z ravnateljem se lahko kriterij za zadostno oceno spusti do največ 45%.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e) Način popravljanja negativne ocene ob koncu redovalnega obdobja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matematiki, angleščini in nemščini so dijaki v primeru, da so bili ob konferenci ocenjeni negativno, ponovno ocenjeni pisno, pri vseh ostalih predmetih pa po dogovoru.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Dijak, ki v prvem ocenjevalnem obdobju ni dosegel minimalnih standardov znanja, ima v 3 tednih po redovalni konferenci enkratno možnost ponovnega ocenjevanja znanja iz tega ocenjevalnega obdobja.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Dijak, ki v prvem redovalnem obdobju ni dosegel minimalnih standardov znanja, ima v zadnjih 3 tednih pred koncem šolskega leta še eno možnost ponovnega ocenjevanja znanja iz prvega ocenjevalnega obdobja, pod pogojem, da v drugem ocenjevalnem obdobju dosega minimalne standarde znanja.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Za zadostno oceno zahtevamo minimalna znanja.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f) Kriterij za izboljševanje pozitivnih ocen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Dijak pridobi pravico izboljševanja  ocene, če ima primeren odnos do pouka, sošolcev, profesorjev in ostalih zaposlenih ter nima vzgojnega ukrepa.</w:t>
      </w:r>
    </w:p>
    <w:p w:rsidR="00B80531" w:rsidRPr="00B80531" w:rsidRDefault="00B80531" w:rsidP="00B80531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>Natančnejša merila za izboljševanje ocen pri posameznih predmetih posredujejo profesorji dijakom prvo šolsko uro, ravno tako pa tudi kriterije za doseganje minimalnih standardov znanj.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g)  Roki za preverjanje znanja z ocenjevanjem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Pisna preverjanja in ocenjevanja znanja so napovedana skladno s Pravilnikom o ocenjevanju znanja v srednjih šolah. Razpored pisnih nalog za posamezni oddelek je v </w:t>
      </w:r>
      <w:proofErr w:type="spellStart"/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eAsistentu</w:t>
      </w:r>
      <w:proofErr w:type="spellEnd"/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ocenjevanju veljajo tudi vsi ostali členi pravilnika.</w:t>
      </w:r>
    </w:p>
    <w:p w:rsidR="00B80531" w:rsidRPr="00B80531" w:rsidRDefault="00B80531" w:rsidP="00B80531">
      <w:pPr>
        <w:suppressAutoHyphens/>
        <w:spacing w:after="120" w:line="345" w:lineRule="atLeast"/>
        <w:outlineLvl w:val="1"/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</w:pPr>
    </w:p>
    <w:p w:rsidR="00B80531" w:rsidRPr="00B80531" w:rsidRDefault="00B80531" w:rsidP="00B80531">
      <w:pPr>
        <w:suppressAutoHyphens/>
        <w:spacing w:after="0" w:line="240" w:lineRule="auto"/>
        <w:outlineLvl w:val="1"/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</w:pPr>
      <w:r w:rsidRPr="00B80531"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  <w:t>h)  Napovedano ustno ocenjevanje znanja</w:t>
      </w:r>
    </w:p>
    <w:p w:rsidR="00B80531" w:rsidRPr="00B80531" w:rsidRDefault="00B80531" w:rsidP="00B80531">
      <w:pPr>
        <w:suppressAutoHyphens/>
        <w:spacing w:after="0" w:line="240" w:lineRule="auto"/>
        <w:outlineLvl w:val="1"/>
        <w:rPr>
          <w:rFonts w:ascii="Calibri" w:eastAsia="Times New Roman" w:hAnsi="Calibri" w:cs="Calibri"/>
          <w:b/>
          <w:color w:val="222222"/>
          <w:sz w:val="24"/>
          <w:szCs w:val="24"/>
          <w:lang w:eastAsia="sl-SI"/>
        </w:rPr>
      </w:pPr>
    </w:p>
    <w:p w:rsidR="00B80531" w:rsidRDefault="00B80531" w:rsidP="00B80531">
      <w:pPr>
        <w:suppressAutoHyphens/>
        <w:spacing w:after="0" w:line="240" w:lineRule="auto"/>
        <w:outlineLvl w:val="1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B80531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Vsi dijaki imajo napovedano ustno ocenjevanje znanja pri vseh predmetih. Odvzem pravice obravnavamo individualno.</w:t>
      </w:r>
    </w:p>
    <w:p w:rsidR="006D22BB" w:rsidRPr="00B80531" w:rsidRDefault="006D22BB" w:rsidP="00B80531">
      <w:pPr>
        <w:suppressAutoHyphens/>
        <w:spacing w:after="0" w:line="240" w:lineRule="auto"/>
        <w:outlineLvl w:val="1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t>Pogoji za obvezno ponavljanje pisnih izdelkov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ar-SA"/>
        </w:rPr>
      </w:pPr>
    </w:p>
    <w:p w:rsidR="00B80531" w:rsidRDefault="006D22BB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Če je ena polovica</w:t>
      </w:r>
      <w:r w:rsidR="00B80531"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ali več pisnih izdelkov ocenjenih</w:t>
      </w:r>
      <w:r w:rsidR="00B80531"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negativno, se pisanje enkrat ponovi, vpišeta pa se obe oceni. </w:t>
      </w:r>
    </w:p>
    <w:p w:rsidR="006D22BB" w:rsidRDefault="006D22BB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7F0E35" w:rsidRDefault="007F0E35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7F0E35" w:rsidRDefault="007F0E35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7F0E35" w:rsidRPr="00B80531" w:rsidRDefault="007F0E35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lastRenderedPageBreak/>
        <w:t>Roki za vračanje izdelkov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ocenjevanju znanja pisnih in drugih izdelkov učitelj dijaka oceni najpozneje v sedmih delovnih dneh po tem, ko jih dijak odda.  Pri eseju pa se čas popravljanja podaljša za sedem delovnih dni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, kar je v skladu z 2. točko, 18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. člena Pravilnika o ocenjevanju znanja v srednjih šolah. 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Po ocenitvi pisnih izdelkov učitelj omogoči dijaku vpogled v pisni izdelek.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Učitelj izroči dijaku ocenjene izdelke po petih dneh oziroma najpozneje v tridesetih dneh po vpisu ocene v redovalnico.</w:t>
      </w:r>
    </w:p>
    <w:p w:rsidR="00B80531" w:rsidRPr="00B80531" w:rsidRDefault="00B80531" w:rsidP="0083491C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t>Izpitni red</w:t>
      </w:r>
    </w:p>
    <w:p w:rsidR="002D7C1B" w:rsidRPr="00B80531" w:rsidRDefault="002D7C1B" w:rsidP="002D7C1B">
      <w:pPr>
        <w:suppressAutoHyphens/>
        <w:spacing w:after="200" w:line="276" w:lineRule="auto"/>
        <w:ind w:left="1080"/>
        <w:contextualSpacing/>
        <w:rPr>
          <w:rFonts w:ascii="Calibri" w:eastAsia="Calibri" w:hAnsi="Calibri" w:cs="Times New Roman"/>
          <w:b/>
          <w:sz w:val="36"/>
          <w:szCs w:val="36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Pri opravljanju izpitov veljajo vsi členi od 21. do vključno 31. člena Pravilnika o ocenjevanju znanja v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srednjih šolah (</w:t>
      </w:r>
      <w:proofErr w:type="spellStart"/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Ur.l</w:t>
      </w:r>
      <w:proofErr w:type="spellEnd"/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. RS, št. 30/2018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).</w:t>
      </w:r>
    </w:p>
    <w:p w:rsidR="00B80531" w:rsidRPr="00B80531" w:rsidRDefault="00B80531" w:rsidP="00B80531">
      <w:pPr>
        <w:spacing w:after="0" w:line="25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sl-SI"/>
        </w:rPr>
      </w:pPr>
      <w:r w:rsidRPr="00B80531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Dijak ima v skladu z Zakonom o gimnazijah pravico opravljati popravne izpite, če je bil ob koncu pouka negativno ocenjen iz največ treh predmetov.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Razpored izpitov mora biti javno objavljen najmanj tri dni pred datumom začetka njihovega opravljanja.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Dijak se prijavi k izpitu najkasneje tri delovne dni pred izpitnim rokom, odjavi pa se lahko najkasneje dva delovna dneva pred izpitnim rokom.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Če se dijak iz opravičenih razlogov ne udeleži izpita ali ga prekine, ga lahko opravlja še v istem roku, če je to mogoče. Razloge za odsotnost ali prekinitev mora šoli pisno sporočiti najkasneje v enem dnevu po izpitu in priložiti ustrezna dokazila. O upravičenosti razlogov odloči ravnatelj najkasneje v treh dneh po prejemu vloge.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Če se dijak ne odjavi pravočasno ali se iz neopravičenih razlogov ne udeleži izpita ali ga prekine, ni ocenjen in se šteje, da je izrabil izpitni rok.</w:t>
      </w:r>
    </w:p>
    <w:p w:rsidR="00B80531" w:rsidRPr="00B80531" w:rsidRDefault="00B80531" w:rsidP="00B80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-Italic"/>
          <w:i/>
          <w:iCs/>
          <w:color w:val="FF0000"/>
          <w:sz w:val="24"/>
          <w:szCs w:val="24"/>
        </w:rPr>
      </w:pPr>
    </w:p>
    <w:p w:rsidR="00B80531" w:rsidRPr="00B80531" w:rsidRDefault="00B80531" w:rsidP="00B805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4"/>
          <w:szCs w:val="24"/>
        </w:rPr>
      </w:pPr>
      <w:r w:rsidRPr="00B80531">
        <w:rPr>
          <w:rFonts w:ascii="Calibri" w:eastAsia="Calibri" w:hAnsi="Calibri" w:cs="Times-Roman"/>
          <w:sz w:val="24"/>
          <w:szCs w:val="24"/>
        </w:rPr>
        <w:t>Pisni izpit nadzoruje nadzorni u</w:t>
      </w:r>
      <w:r w:rsidRPr="00B80531">
        <w:rPr>
          <w:rFonts w:ascii="Calibri" w:eastAsia="Calibri" w:hAnsi="Calibri" w:cs="TTE39E3250t00"/>
          <w:sz w:val="24"/>
          <w:szCs w:val="24"/>
        </w:rPr>
        <w:t>č</w:t>
      </w:r>
      <w:r w:rsidRPr="00B80531">
        <w:rPr>
          <w:rFonts w:ascii="Calibri" w:eastAsia="Calibri" w:hAnsi="Calibri" w:cs="Times-Roman"/>
          <w:sz w:val="24"/>
          <w:szCs w:val="24"/>
        </w:rPr>
        <w:t xml:space="preserve">itelj, oceni pa ocenjevalec. Ustni izpiti se opravljajo pred izpitno komisijo. Izpitna komisija ima predsednika, izpraševalca in enega </w:t>
      </w:r>
      <w:r w:rsidRPr="00B80531">
        <w:rPr>
          <w:rFonts w:ascii="Calibri" w:eastAsia="Calibri" w:hAnsi="Calibri" w:cs="TTE39E3250t00"/>
          <w:sz w:val="24"/>
          <w:szCs w:val="24"/>
        </w:rPr>
        <w:t>č</w:t>
      </w:r>
      <w:r w:rsidRPr="00B80531">
        <w:rPr>
          <w:rFonts w:ascii="Calibri" w:eastAsia="Calibri" w:hAnsi="Calibri" w:cs="Times-Roman"/>
          <w:sz w:val="24"/>
          <w:szCs w:val="24"/>
        </w:rPr>
        <w:t>lana. Na ustnem izpitu izprašuje izpraševalec. Izpitna komisija oceni dijaka na obrazložen predlog izpraševalca takoj po ustnem izpitu. Ko komisija dolo</w:t>
      </w:r>
      <w:r w:rsidRPr="00B80531">
        <w:rPr>
          <w:rFonts w:ascii="Calibri" w:eastAsia="Calibri" w:hAnsi="Calibri" w:cs="TTE39E3250t00"/>
          <w:sz w:val="24"/>
          <w:szCs w:val="24"/>
        </w:rPr>
        <w:t>č</w:t>
      </w:r>
      <w:r w:rsidRPr="00B80531">
        <w:rPr>
          <w:rFonts w:ascii="Calibri" w:eastAsia="Calibri" w:hAnsi="Calibri" w:cs="Times-Roman"/>
          <w:sz w:val="24"/>
          <w:szCs w:val="24"/>
        </w:rPr>
        <w:t>i kon</w:t>
      </w:r>
      <w:r w:rsidRPr="00B80531">
        <w:rPr>
          <w:rFonts w:ascii="Calibri" w:eastAsia="Calibri" w:hAnsi="Calibri" w:cs="TTE39E3250t00"/>
          <w:sz w:val="24"/>
          <w:szCs w:val="24"/>
        </w:rPr>
        <w:t>č</w:t>
      </w:r>
      <w:r w:rsidRPr="00B80531">
        <w:rPr>
          <w:rFonts w:ascii="Calibri" w:eastAsia="Calibri" w:hAnsi="Calibri" w:cs="Times-Roman"/>
          <w:sz w:val="24"/>
          <w:szCs w:val="24"/>
        </w:rPr>
        <w:t>no oceno izpita, predsednik izpitne komisije obvesti dijaka o kon</w:t>
      </w:r>
      <w:r w:rsidRPr="00B80531">
        <w:rPr>
          <w:rFonts w:ascii="Calibri" w:eastAsia="Calibri" w:hAnsi="Calibri" w:cs="TTE39E3250t00"/>
          <w:sz w:val="24"/>
          <w:szCs w:val="24"/>
        </w:rPr>
        <w:t>č</w:t>
      </w:r>
      <w:r w:rsidRPr="00B80531">
        <w:rPr>
          <w:rFonts w:ascii="Calibri" w:eastAsia="Calibri" w:hAnsi="Calibri" w:cs="Times-Roman"/>
          <w:sz w:val="24"/>
          <w:szCs w:val="24"/>
        </w:rPr>
        <w:t>ni oceni, obrazloži pa mu jo izpraševalec oziroma ocenjevalec.</w:t>
      </w:r>
    </w:p>
    <w:p w:rsidR="0083491C" w:rsidRDefault="0083491C" w:rsidP="00B80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-Roman"/>
          <w:sz w:val="24"/>
          <w:szCs w:val="24"/>
        </w:rPr>
      </w:pPr>
    </w:p>
    <w:p w:rsidR="0083491C" w:rsidRDefault="0083491C" w:rsidP="00B80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-Roman"/>
          <w:sz w:val="24"/>
          <w:szCs w:val="24"/>
        </w:rPr>
      </w:pPr>
    </w:p>
    <w:p w:rsidR="008D05DD" w:rsidRDefault="008D05DD" w:rsidP="00B80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-Roman"/>
          <w:sz w:val="24"/>
          <w:szCs w:val="24"/>
        </w:rPr>
      </w:pPr>
    </w:p>
    <w:p w:rsidR="008D05DD" w:rsidRPr="00B80531" w:rsidRDefault="008D05DD" w:rsidP="00B80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-Roman"/>
          <w:sz w:val="24"/>
          <w:szCs w:val="24"/>
        </w:rPr>
      </w:pPr>
    </w:p>
    <w:p w:rsidR="002D7C1B" w:rsidRDefault="002D7C1B" w:rsidP="0083491C">
      <w:pPr>
        <w:numPr>
          <w:ilvl w:val="0"/>
          <w:numId w:val="4"/>
        </w:numPr>
        <w:suppressAutoHyphens/>
        <w:spacing w:after="0" w:line="240" w:lineRule="auto"/>
        <w:ind w:left="1077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Priprava izpitnega gradiva, potek in trajanje izpita za ITS</w:t>
      </w:r>
    </w:p>
    <w:p w:rsidR="0083491C" w:rsidRPr="0083491C" w:rsidRDefault="0083491C" w:rsidP="0083491C">
      <w:pPr>
        <w:suppressAutoHyphens/>
        <w:spacing w:after="0" w:line="240" w:lineRule="auto"/>
        <w:ind w:left="1077"/>
        <w:rPr>
          <w:rFonts w:ascii="Calibri" w:eastAsia="Calibri" w:hAnsi="Calibri" w:cs="Times New Roman"/>
          <w:b/>
          <w:sz w:val="24"/>
          <w:szCs w:val="24"/>
        </w:rPr>
      </w:pPr>
    </w:p>
    <w:p w:rsidR="000B0672" w:rsidRPr="000B0672" w:rsidRDefault="000B0672" w:rsidP="0083491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>ITS je razdeljen na vsebinske sklope, d</w:t>
      </w:r>
      <w:r w:rsidRPr="000B0672">
        <w:rPr>
          <w:rFonts w:eastAsia="Times New Roman" w:cs="Times New Roman"/>
          <w:color w:val="000000"/>
          <w:sz w:val="24"/>
          <w:szCs w:val="24"/>
        </w:rPr>
        <w:t xml:space="preserve">ijak, ki ni dosegel minimalnih standardov po posameznih sklopih oziroma ni oddal predpisanih nalog, oceno popravlja ob konferenci ali ob koncu šolskega leta pisno in ustno z vsebinami, ki jih določijo vsi nosilci ITS.  Če dijak tudi po popravljanju ne doseže minimalnih standardov, ima </w:t>
      </w:r>
      <w:r w:rsidRPr="000B0672">
        <w:rPr>
          <w:rFonts w:eastAsia="Times New Roman" w:cs="Times New Roman"/>
          <w:b/>
          <w:color w:val="000000"/>
          <w:sz w:val="24"/>
          <w:szCs w:val="24"/>
        </w:rPr>
        <w:t>popravni izpit</w:t>
      </w:r>
      <w:r w:rsidRPr="000B0672">
        <w:rPr>
          <w:rFonts w:eastAsia="Times New Roman" w:cs="Times New Roman"/>
          <w:color w:val="000000"/>
          <w:sz w:val="24"/>
          <w:szCs w:val="24"/>
        </w:rPr>
        <w:t xml:space="preserve">. Popravni izpit je sestavljen iz pisnega dela, ki traja 90 minut in ustnega dela (15 minut ima dijak časa za pripravo na izpit, </w:t>
      </w:r>
      <w:r w:rsidRPr="000B0672">
        <w:rPr>
          <w:rFonts w:eastAsia="Times New Roman" w:cs="Times New Roman"/>
          <w:color w:val="000000"/>
          <w:sz w:val="24"/>
          <w:szCs w:val="24"/>
        </w:rPr>
        <w:lastRenderedPageBreak/>
        <w:t xml:space="preserve">20 minut za odgovarjanje oziroma spraševanje). Popravni izpit pripravijo nosilci ITS. Razmerje med pisnim in ustnim delom je: </w:t>
      </w:r>
    </w:p>
    <w:p w:rsidR="000B0672" w:rsidRPr="000B0672" w:rsidRDefault="000B0672" w:rsidP="0083491C">
      <w:pPr>
        <w:pStyle w:val="Odstavekseznam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 w:rsidRPr="000B0672">
        <w:rPr>
          <w:rFonts w:eastAsia="Times New Roman" w:cs="Times New Roman"/>
          <w:color w:val="000000"/>
          <w:sz w:val="24"/>
          <w:szCs w:val="24"/>
        </w:rPr>
        <w:t xml:space="preserve">pisni del predstavlja 70 % ocene, </w:t>
      </w:r>
    </w:p>
    <w:p w:rsidR="002D7C1B" w:rsidRPr="0083491C" w:rsidRDefault="000B0672" w:rsidP="0083491C">
      <w:pPr>
        <w:pStyle w:val="Odstavekseznam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 w:rsidRPr="000B0672">
        <w:rPr>
          <w:rFonts w:eastAsia="Times New Roman" w:cs="Times New Roman"/>
          <w:color w:val="000000"/>
          <w:sz w:val="24"/>
          <w:szCs w:val="24"/>
        </w:rPr>
        <w:t xml:space="preserve">ustni del 30 %. </w:t>
      </w:r>
    </w:p>
    <w:p w:rsidR="0083491C" w:rsidRPr="000B0672" w:rsidRDefault="0083491C" w:rsidP="0083491C">
      <w:pPr>
        <w:pStyle w:val="Odstavekseznama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t>Kršitve pravil pri ocenjevanju znanja in ukrepi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Če pri pisanju pisnih izdelkov ali pri drugih oblikah ocenjevanja znanja, učitelj dijaka zaloti pri uporabi nedovoljenih pripomočkov, pri prepisovanju oziroma drugih kršitvah šolskih pravil ocenjevanja znanja, ga lahko oceni z negativno oceno ali predlaga ustrezen ukrep.</w:t>
      </w: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t>Postopek odpravljanja napak pri ocenjevanju znanja</w:t>
      </w:r>
    </w:p>
    <w:p w:rsidR="00B80531" w:rsidRPr="00B80531" w:rsidRDefault="00B80531" w:rsidP="00B80531">
      <w:pPr>
        <w:spacing w:after="200" w:line="276" w:lineRule="auto"/>
        <w:ind w:left="1080"/>
        <w:contextualSpacing/>
        <w:rPr>
          <w:rFonts w:ascii="Calibri" w:eastAsia="Calibri" w:hAnsi="Calibri" w:cs="Times New Roman"/>
          <w:b/>
          <w:sz w:val="36"/>
          <w:szCs w:val="36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Učitelj lahko sam, na predlog razrednika, ravnatelja ali dijaka zaradi računske ali druge očitne napake, povezane z ocenjevanjem, odpravi napako, to pisno evidentira v ustrezen dokument in o tem obvesti dijaka, na katerega se ocena oziroma ugotovitev nanaša.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Če učitelj ne odpravi napake v skladu s prejšnjim odstavkom, o tem dokončno odloči ravnatelj.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B80531" w:rsidRPr="00B80531" w:rsidRDefault="00B80531" w:rsidP="00B80531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B80531">
        <w:rPr>
          <w:rFonts w:ascii="Calibri" w:eastAsia="Calibri" w:hAnsi="Calibri" w:cs="Times New Roman"/>
          <w:b/>
          <w:sz w:val="36"/>
          <w:szCs w:val="36"/>
        </w:rPr>
        <w:t>Priprava in hramba izpitnega gradiva</w:t>
      </w:r>
    </w:p>
    <w:p w:rsidR="00B80531" w:rsidRPr="00B80531" w:rsidRDefault="00B80531" w:rsidP="00B80531">
      <w:pPr>
        <w:spacing w:after="200" w:line="276" w:lineRule="auto"/>
        <w:ind w:left="1080"/>
        <w:contextualSpacing/>
        <w:rPr>
          <w:rFonts w:ascii="Calibri" w:eastAsia="Calibri" w:hAnsi="Calibri" w:cs="Times New Roman"/>
          <w:b/>
          <w:sz w:val="36"/>
          <w:szCs w:val="36"/>
        </w:rPr>
      </w:pP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Izpitno in drugo gradivo, ki je podlaga za ocenjevanja znanja, pripra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>vi strokovni aktiv v skladu z 28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. členom  Pravilnika o ocenjevanju znanja v srednjih šolah.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Vodja strokovnega aktiva ali ocenjevalec izroči izpitno gradivo ravnateljici najpozneje dan pred izpitom. Izpitno gradivo se hrani </w:t>
      </w:r>
      <w:r w:rsidR="007837AC"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v ognjevarni omari 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v pisarni ravnateljice</w:t>
      </w:r>
      <w:r w:rsidR="007837A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oz. svetovalne službe</w:t>
      </w:r>
      <w:r w:rsidRPr="00B80531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</w:p>
    <w:p w:rsidR="00B80531" w:rsidRPr="00B80531" w:rsidRDefault="00B80531" w:rsidP="00B805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ahoma"/>
          <w:bCs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ahoma"/>
          <w:bCs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ahoma"/>
          <w:bCs/>
          <w:lang w:eastAsia="ar-SA"/>
        </w:rPr>
      </w:pP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Litija, </w:t>
      </w:r>
      <w:r w:rsidR="007F0E35">
        <w:rPr>
          <w:rFonts w:ascii="Calibri" w:eastAsia="Times New Roman" w:hAnsi="Calibri" w:cs="Times New Roman"/>
          <w:bCs/>
          <w:sz w:val="24"/>
          <w:szCs w:val="24"/>
          <w:lang w:eastAsia="ar-SA"/>
        </w:rPr>
        <w:t>avgust 2020</w:t>
      </w:r>
      <w:r w:rsidRPr="00B8053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Calibri" w:eastAsia="Times New Roman" w:hAnsi="Calibri" w:cs="Tahoma"/>
          <w:bCs/>
          <w:sz w:val="24"/>
          <w:szCs w:val="24"/>
          <w:lang w:eastAsia="ar-SA"/>
        </w:rPr>
      </w:pPr>
      <w:r w:rsidRPr="00B8053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Ravnateljica: Vida Poglajen</w:t>
      </w:r>
    </w:p>
    <w:p w:rsidR="00B80531" w:rsidRPr="00B80531" w:rsidRDefault="00B80531" w:rsidP="00B805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49B2" w:rsidRDefault="00FA49B2"/>
    <w:p w:rsidR="00EA5700" w:rsidRDefault="00EA5700"/>
    <w:p w:rsidR="00EA5700" w:rsidRDefault="00EA5700"/>
    <w:p w:rsidR="00EA5700" w:rsidRDefault="00EA5700"/>
    <w:p w:rsidR="00EA5700" w:rsidRDefault="00EA5700"/>
    <w:p w:rsidR="00EA5700" w:rsidRDefault="00EA5700"/>
    <w:sectPr w:rsidR="00EA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9E32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954"/>
    <w:multiLevelType w:val="hybridMultilevel"/>
    <w:tmpl w:val="50040F0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584E"/>
    <w:multiLevelType w:val="hybridMultilevel"/>
    <w:tmpl w:val="28302C6A"/>
    <w:lvl w:ilvl="0" w:tplc="B6BA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E5B9F"/>
    <w:multiLevelType w:val="hybridMultilevel"/>
    <w:tmpl w:val="E4E832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1D5E52"/>
    <w:multiLevelType w:val="multilevel"/>
    <w:tmpl w:val="7FDA723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037341"/>
    <w:multiLevelType w:val="hybridMultilevel"/>
    <w:tmpl w:val="88D03E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68C6"/>
    <w:multiLevelType w:val="multilevel"/>
    <w:tmpl w:val="887C8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5C4799"/>
    <w:multiLevelType w:val="hybridMultilevel"/>
    <w:tmpl w:val="8AD6A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31"/>
    <w:rsid w:val="0001754D"/>
    <w:rsid w:val="00047169"/>
    <w:rsid w:val="000B0672"/>
    <w:rsid w:val="00111717"/>
    <w:rsid w:val="00161747"/>
    <w:rsid w:val="002D7C1B"/>
    <w:rsid w:val="003962C3"/>
    <w:rsid w:val="003977BD"/>
    <w:rsid w:val="00447163"/>
    <w:rsid w:val="0047090B"/>
    <w:rsid w:val="004B1F2B"/>
    <w:rsid w:val="00614F28"/>
    <w:rsid w:val="006D006E"/>
    <w:rsid w:val="006D22BB"/>
    <w:rsid w:val="006D493E"/>
    <w:rsid w:val="007837AC"/>
    <w:rsid w:val="007D4557"/>
    <w:rsid w:val="007F0E35"/>
    <w:rsid w:val="0083491C"/>
    <w:rsid w:val="008955F0"/>
    <w:rsid w:val="008D05DD"/>
    <w:rsid w:val="00A6504C"/>
    <w:rsid w:val="00B80531"/>
    <w:rsid w:val="00D5455B"/>
    <w:rsid w:val="00D81797"/>
    <w:rsid w:val="00DB245F"/>
    <w:rsid w:val="00EA5700"/>
    <w:rsid w:val="00EF7B78"/>
    <w:rsid w:val="00FA49B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C43F"/>
  <w15:chartTrackingRefBased/>
  <w15:docId w15:val="{0D573BDF-4D0C-4F57-8E26-5CBC04F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754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FF3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Boltin</cp:lastModifiedBy>
  <cp:revision>12</cp:revision>
  <cp:lastPrinted>2019-09-24T08:00:00Z</cp:lastPrinted>
  <dcterms:created xsi:type="dcterms:W3CDTF">2020-04-05T18:05:00Z</dcterms:created>
  <dcterms:modified xsi:type="dcterms:W3CDTF">2020-08-28T11:45:00Z</dcterms:modified>
</cp:coreProperties>
</file>